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B4" w:rsidRPr="00797CB4" w:rsidRDefault="00797CB4">
      <w:pPr>
        <w:spacing w:after="0" w:line="259" w:lineRule="auto"/>
        <w:ind w:left="0" w:firstLine="0"/>
        <w:jc w:val="left"/>
        <w:rPr>
          <w:sz w:val="12"/>
          <w:szCs w:val="12"/>
        </w:rPr>
      </w:pPr>
      <w:bookmarkStart w:id="0" w:name="_GoBack"/>
      <w:bookmarkEnd w:id="0"/>
    </w:p>
    <w:tbl>
      <w:tblPr>
        <w:tblStyle w:val="TableGrid"/>
        <w:tblW w:w="9580" w:type="dxa"/>
        <w:tblInd w:w="-108" w:type="dxa"/>
        <w:tblCellMar>
          <w:top w:w="72" w:type="dxa"/>
          <w:left w:w="108" w:type="dxa"/>
          <w:right w:w="85" w:type="dxa"/>
        </w:tblCellMar>
        <w:tblLook w:val="04A0" w:firstRow="1" w:lastRow="0" w:firstColumn="1" w:lastColumn="0" w:noHBand="0" w:noVBand="1"/>
      </w:tblPr>
      <w:tblGrid>
        <w:gridCol w:w="3708"/>
        <w:gridCol w:w="2747"/>
        <w:gridCol w:w="3125"/>
      </w:tblGrid>
      <w:tr w:rsidR="00765FE1">
        <w:trPr>
          <w:trHeight w:val="343"/>
        </w:trPr>
        <w:tc>
          <w:tcPr>
            <w:tcW w:w="3708" w:type="dxa"/>
            <w:tcBorders>
              <w:top w:val="single" w:sz="6" w:space="0" w:color="000000"/>
              <w:left w:val="single" w:sz="6" w:space="0" w:color="000000"/>
              <w:bottom w:val="single" w:sz="6" w:space="0" w:color="000000"/>
              <w:right w:val="single" w:sz="6" w:space="0" w:color="000000"/>
            </w:tcBorders>
          </w:tcPr>
          <w:p w:rsidR="00765FE1" w:rsidRDefault="00B9065A">
            <w:pPr>
              <w:spacing w:after="0" w:line="259" w:lineRule="auto"/>
              <w:ind w:left="0" w:right="23" w:firstLine="0"/>
              <w:jc w:val="center"/>
            </w:pPr>
            <w:r>
              <w:rPr>
                <w:sz w:val="18"/>
              </w:rPr>
              <w:t xml:space="preserve">TITLE </w:t>
            </w:r>
          </w:p>
        </w:tc>
        <w:tc>
          <w:tcPr>
            <w:tcW w:w="2747" w:type="dxa"/>
            <w:tcBorders>
              <w:top w:val="single" w:sz="6" w:space="0" w:color="000000"/>
              <w:left w:val="single" w:sz="6" w:space="0" w:color="000000"/>
              <w:bottom w:val="single" w:sz="6" w:space="0" w:color="000000"/>
              <w:right w:val="single" w:sz="6" w:space="0" w:color="000000"/>
            </w:tcBorders>
          </w:tcPr>
          <w:p w:rsidR="00765FE1" w:rsidRDefault="00B9065A">
            <w:pPr>
              <w:spacing w:after="0" w:line="259" w:lineRule="auto"/>
              <w:ind w:left="0" w:right="23" w:firstLine="0"/>
              <w:jc w:val="center"/>
            </w:pPr>
            <w:r>
              <w:rPr>
                <w:sz w:val="18"/>
              </w:rPr>
              <w:t xml:space="preserve">CLASSIFICATION </w:t>
            </w:r>
          </w:p>
        </w:tc>
        <w:tc>
          <w:tcPr>
            <w:tcW w:w="3125" w:type="dxa"/>
            <w:tcBorders>
              <w:top w:val="single" w:sz="6" w:space="0" w:color="000000"/>
              <w:left w:val="single" w:sz="6" w:space="0" w:color="000000"/>
              <w:bottom w:val="single" w:sz="6" w:space="0" w:color="000000"/>
              <w:right w:val="single" w:sz="6" w:space="0" w:color="000000"/>
            </w:tcBorders>
          </w:tcPr>
          <w:p w:rsidR="00765FE1" w:rsidRDefault="00B9065A" w:rsidP="00ED341C">
            <w:pPr>
              <w:spacing w:after="0" w:line="259" w:lineRule="auto"/>
              <w:ind w:left="0" w:right="24" w:firstLine="0"/>
              <w:jc w:val="center"/>
            </w:pPr>
            <w:r>
              <w:rPr>
                <w:sz w:val="18"/>
              </w:rPr>
              <w:t xml:space="preserve">SALARY GRADE </w:t>
            </w:r>
          </w:p>
        </w:tc>
      </w:tr>
      <w:tr w:rsidR="00765FE1">
        <w:trPr>
          <w:trHeight w:val="608"/>
        </w:trPr>
        <w:tc>
          <w:tcPr>
            <w:tcW w:w="3708" w:type="dxa"/>
            <w:tcBorders>
              <w:top w:val="single" w:sz="6" w:space="0" w:color="000000"/>
              <w:left w:val="single" w:sz="6" w:space="0" w:color="000000"/>
              <w:bottom w:val="single" w:sz="6" w:space="0" w:color="000000"/>
              <w:right w:val="single" w:sz="6" w:space="0" w:color="000000"/>
            </w:tcBorders>
          </w:tcPr>
          <w:p w:rsidR="00765FE1" w:rsidRPr="00F7373A" w:rsidRDefault="005321D4" w:rsidP="00390CDE">
            <w:pPr>
              <w:spacing w:before="120" w:after="120" w:line="259" w:lineRule="auto"/>
              <w:ind w:left="0" w:firstLine="0"/>
              <w:jc w:val="left"/>
            </w:pPr>
            <w:r w:rsidRPr="00F7373A">
              <w:rPr>
                <w:sz w:val="18"/>
              </w:rPr>
              <w:t>COORDINATOR</w:t>
            </w:r>
            <w:r w:rsidR="00CF7F0B" w:rsidRPr="00F7373A">
              <w:rPr>
                <w:sz w:val="18"/>
              </w:rPr>
              <w:t xml:space="preserve">,  </w:t>
            </w:r>
            <w:r w:rsidR="00BA1956" w:rsidRPr="00F7373A">
              <w:rPr>
                <w:sz w:val="18"/>
              </w:rPr>
              <w:t xml:space="preserve">STUDENT </w:t>
            </w:r>
            <w:r w:rsidR="00CF7F0B" w:rsidRPr="00F7373A">
              <w:rPr>
                <w:sz w:val="18"/>
              </w:rPr>
              <w:t>ACADEMIC RECORDS</w:t>
            </w:r>
          </w:p>
        </w:tc>
        <w:tc>
          <w:tcPr>
            <w:tcW w:w="2747" w:type="dxa"/>
            <w:tcBorders>
              <w:top w:val="single" w:sz="6" w:space="0" w:color="000000"/>
              <w:left w:val="single" w:sz="6" w:space="0" w:color="000000"/>
              <w:bottom w:val="single" w:sz="6" w:space="0" w:color="000000"/>
              <w:right w:val="single" w:sz="6" w:space="0" w:color="000000"/>
            </w:tcBorders>
          </w:tcPr>
          <w:p w:rsidR="00765FE1" w:rsidRDefault="00B9065A" w:rsidP="00390CDE">
            <w:pPr>
              <w:spacing w:before="120" w:after="120" w:line="259" w:lineRule="auto"/>
              <w:ind w:left="0" w:right="22" w:firstLine="0"/>
              <w:jc w:val="center"/>
            </w:pPr>
            <w:r>
              <w:rPr>
                <w:sz w:val="18"/>
              </w:rPr>
              <w:t xml:space="preserve">CLASSIFIED </w:t>
            </w:r>
          </w:p>
        </w:tc>
        <w:tc>
          <w:tcPr>
            <w:tcW w:w="3125" w:type="dxa"/>
            <w:tcBorders>
              <w:top w:val="single" w:sz="6" w:space="0" w:color="000000"/>
              <w:left w:val="single" w:sz="6" w:space="0" w:color="000000"/>
              <w:bottom w:val="single" w:sz="6" w:space="0" w:color="000000"/>
              <w:right w:val="single" w:sz="6" w:space="0" w:color="000000"/>
            </w:tcBorders>
          </w:tcPr>
          <w:p w:rsidR="00765FE1" w:rsidRDefault="00B9065A" w:rsidP="00390CDE">
            <w:pPr>
              <w:tabs>
                <w:tab w:val="center" w:pos="2161"/>
                <w:tab w:val="center" w:pos="2881"/>
              </w:tabs>
              <w:spacing w:before="120" w:after="120" w:line="259" w:lineRule="auto"/>
              <w:ind w:left="0" w:firstLine="0"/>
              <w:jc w:val="left"/>
            </w:pPr>
            <w:r>
              <w:rPr>
                <w:sz w:val="18"/>
              </w:rPr>
              <w:t xml:space="preserve">GRADE:               </w:t>
            </w:r>
            <w:r w:rsidR="00390CDE">
              <w:rPr>
                <w:sz w:val="18"/>
              </w:rPr>
              <w:t>O</w:t>
            </w:r>
          </w:p>
        </w:tc>
      </w:tr>
      <w:tr w:rsidR="004B11AA" w:rsidTr="005111D9">
        <w:trPr>
          <w:trHeight w:val="382"/>
        </w:trPr>
        <w:tc>
          <w:tcPr>
            <w:tcW w:w="9580" w:type="dxa"/>
            <w:gridSpan w:val="3"/>
            <w:tcBorders>
              <w:top w:val="single" w:sz="6" w:space="0" w:color="000000"/>
              <w:left w:val="single" w:sz="6" w:space="0" w:color="000000"/>
              <w:bottom w:val="single" w:sz="6" w:space="0" w:color="000000"/>
              <w:right w:val="single" w:sz="6" w:space="0" w:color="000000"/>
            </w:tcBorders>
          </w:tcPr>
          <w:p w:rsidR="004B11AA" w:rsidRDefault="0008354C" w:rsidP="00390CDE">
            <w:pPr>
              <w:spacing w:before="80" w:after="80" w:line="259" w:lineRule="auto"/>
              <w:ind w:left="0" w:firstLine="0"/>
              <w:jc w:val="left"/>
            </w:pPr>
            <w:r>
              <w:rPr>
                <w:sz w:val="18"/>
              </w:rPr>
              <w:t>BOARD POLICY REFERENCE:                2015/16 Classification Review</w:t>
            </w:r>
          </w:p>
        </w:tc>
      </w:tr>
    </w:tbl>
    <w:p w:rsidR="00765FE1" w:rsidRDefault="00765FE1" w:rsidP="005C6A68">
      <w:pPr>
        <w:spacing w:after="0" w:line="259" w:lineRule="auto"/>
        <w:ind w:left="0" w:firstLine="0"/>
        <w:jc w:val="left"/>
      </w:pPr>
    </w:p>
    <w:p w:rsidR="00087889" w:rsidRDefault="00087889" w:rsidP="005C6A68">
      <w:pPr>
        <w:spacing w:after="0" w:line="259" w:lineRule="auto"/>
        <w:ind w:left="0" w:firstLine="0"/>
        <w:jc w:val="left"/>
      </w:pPr>
    </w:p>
    <w:p w:rsidR="00765FE1" w:rsidRDefault="00B9065A">
      <w:pPr>
        <w:spacing w:after="0" w:line="259" w:lineRule="auto"/>
        <w:ind w:left="-5"/>
        <w:jc w:val="left"/>
      </w:pPr>
      <w:r>
        <w:rPr>
          <w:b/>
          <w:sz w:val="22"/>
          <w:u w:val="single" w:color="000000"/>
        </w:rPr>
        <w:t>JOB DESCRIPTION</w:t>
      </w:r>
      <w:r>
        <w:rPr>
          <w:b/>
          <w:sz w:val="22"/>
        </w:rPr>
        <w:t xml:space="preserve">: </w:t>
      </w:r>
    </w:p>
    <w:p w:rsidR="00765FE1" w:rsidRDefault="00B9065A">
      <w:pPr>
        <w:spacing w:after="0"/>
        <w:ind w:left="-5"/>
      </w:pPr>
      <w:r w:rsidRPr="005C6A68">
        <w:t>Under direction, pe</w:t>
      </w:r>
      <w:r w:rsidR="00BA1956" w:rsidRPr="005C6A68">
        <w:t xml:space="preserve">rforms a variety of specialized </w:t>
      </w:r>
      <w:r w:rsidRPr="005C6A68">
        <w:t xml:space="preserve">attendance accounting, </w:t>
      </w:r>
      <w:r w:rsidR="00BA1956" w:rsidRPr="00F7373A">
        <w:t xml:space="preserve">student academic record </w:t>
      </w:r>
      <w:r w:rsidRPr="005C6A68">
        <w:t xml:space="preserve">auditing and </w:t>
      </w:r>
      <w:r w:rsidRPr="00087889">
        <w:rPr>
          <w:color w:val="auto"/>
        </w:rPr>
        <w:t xml:space="preserve">statistical functions requiring high levels of independent judgment and discretion; </w:t>
      </w:r>
      <w:r w:rsidR="005321D4" w:rsidRPr="00087889">
        <w:rPr>
          <w:color w:val="auto"/>
        </w:rPr>
        <w:t xml:space="preserve">coordinates and maintains student academic records degree </w:t>
      </w:r>
      <w:r w:rsidR="00453460" w:rsidRPr="00087889">
        <w:rPr>
          <w:color w:val="auto"/>
        </w:rPr>
        <w:t xml:space="preserve">and certificate </w:t>
      </w:r>
      <w:r w:rsidR="005321D4" w:rsidRPr="00087889">
        <w:rPr>
          <w:color w:val="auto"/>
        </w:rPr>
        <w:t xml:space="preserve">audit and evaluation systems; </w:t>
      </w:r>
      <w:r w:rsidR="00453460" w:rsidRPr="00087889">
        <w:rPr>
          <w:color w:val="auto"/>
        </w:rPr>
        <w:t xml:space="preserve">ensures that student records are accurately collected and posted in preparation for </w:t>
      </w:r>
      <w:r w:rsidRPr="00087889">
        <w:rPr>
          <w:color w:val="auto"/>
        </w:rPr>
        <w:t xml:space="preserve">the </w:t>
      </w:r>
      <w:r w:rsidR="00AB5ECB" w:rsidRPr="00087889">
        <w:rPr>
          <w:color w:val="auto"/>
        </w:rPr>
        <w:t>C</w:t>
      </w:r>
      <w:r w:rsidRPr="00087889">
        <w:rPr>
          <w:color w:val="auto"/>
        </w:rPr>
        <w:t xml:space="preserve">ollege’s apportionment reporting to the Chancellor’s Office of California Community Colleges. </w:t>
      </w:r>
    </w:p>
    <w:p w:rsidR="005C6A68" w:rsidRDefault="005C6A68" w:rsidP="005C6A68">
      <w:pPr>
        <w:spacing w:after="0" w:line="259" w:lineRule="auto"/>
        <w:ind w:left="0" w:firstLine="0"/>
        <w:jc w:val="left"/>
      </w:pPr>
    </w:p>
    <w:p w:rsidR="00765FE1" w:rsidRDefault="00765FE1" w:rsidP="005C6A68">
      <w:pPr>
        <w:spacing w:after="0" w:line="259" w:lineRule="auto"/>
        <w:ind w:left="0" w:firstLine="0"/>
        <w:jc w:val="left"/>
      </w:pPr>
    </w:p>
    <w:p w:rsidR="00765FE1" w:rsidRDefault="00B9065A">
      <w:pPr>
        <w:spacing w:after="0" w:line="259" w:lineRule="auto"/>
        <w:ind w:left="-5"/>
        <w:jc w:val="left"/>
      </w:pPr>
      <w:r>
        <w:rPr>
          <w:b/>
          <w:sz w:val="22"/>
          <w:u w:val="single" w:color="000000"/>
        </w:rPr>
        <w:t>SCOPE</w:t>
      </w:r>
      <w:r>
        <w:rPr>
          <w:b/>
          <w:sz w:val="22"/>
        </w:rPr>
        <w:t>:</w:t>
      </w:r>
      <w:r>
        <w:rPr>
          <w:sz w:val="22"/>
        </w:rPr>
        <w:t xml:space="preserve"> </w:t>
      </w:r>
    </w:p>
    <w:p w:rsidR="00765FE1" w:rsidRPr="005C6A68" w:rsidRDefault="00B9065A" w:rsidP="00A85AD4">
      <w:pPr>
        <w:autoSpaceDE w:val="0"/>
        <w:autoSpaceDN w:val="0"/>
        <w:adjustRightInd w:val="0"/>
        <w:spacing w:after="0" w:line="240" w:lineRule="auto"/>
        <w:ind w:left="0" w:firstLine="0"/>
      </w:pPr>
      <w:r>
        <w:t xml:space="preserve">The </w:t>
      </w:r>
      <w:r w:rsidR="00CF7F0B" w:rsidRPr="00F7373A">
        <w:t>Coordinator, Student Academic Records</w:t>
      </w:r>
      <w:r w:rsidR="00CF7F0B">
        <w:rPr>
          <w:rFonts w:eastAsiaTheme="minorEastAsia"/>
          <w:color w:val="auto"/>
          <w:szCs w:val="20"/>
        </w:rPr>
        <w:t xml:space="preserve"> </w:t>
      </w:r>
      <w:r>
        <w:t xml:space="preserve">is responsible for implementing </w:t>
      </w:r>
      <w:r w:rsidR="00CF7F0B" w:rsidRPr="00F7373A">
        <w:t xml:space="preserve">and maintaining statistical and student academic record information </w:t>
      </w:r>
      <w:r>
        <w:t xml:space="preserve">in accordance with federal, state, and local laws and regulations; </w:t>
      </w:r>
      <w:r w:rsidRPr="004C4131">
        <w:t xml:space="preserve">determines eligibility </w:t>
      </w:r>
      <w:r w:rsidR="004C4131" w:rsidRPr="00F7373A">
        <w:t xml:space="preserve">for lower division general education </w:t>
      </w:r>
      <w:r w:rsidR="00A85AD4" w:rsidRPr="00087889">
        <w:rPr>
          <w:color w:val="auto"/>
        </w:rPr>
        <w:t xml:space="preserve">and certificate </w:t>
      </w:r>
      <w:r w:rsidR="004C4131" w:rsidRPr="00F7373A">
        <w:t>requirements</w:t>
      </w:r>
      <w:r>
        <w:t xml:space="preserve">; makes recommendations for office policies and procedures; </w:t>
      </w:r>
      <w:r w:rsidR="00ED341C" w:rsidRPr="00F7373A">
        <w:t>serves</w:t>
      </w:r>
      <w:r>
        <w:t xml:space="preserve"> as a lead worker to other classified staff within the department</w:t>
      </w:r>
      <w:r w:rsidRPr="005C6A68">
        <w:t xml:space="preserve">.  </w:t>
      </w:r>
    </w:p>
    <w:p w:rsidR="00765FE1" w:rsidRDefault="00765FE1">
      <w:pPr>
        <w:spacing w:after="0" w:line="259" w:lineRule="auto"/>
        <w:ind w:left="0" w:firstLine="0"/>
        <w:jc w:val="left"/>
      </w:pPr>
    </w:p>
    <w:p w:rsidR="00765FE1" w:rsidRDefault="00765FE1">
      <w:pPr>
        <w:spacing w:after="0" w:line="259" w:lineRule="auto"/>
        <w:ind w:left="0" w:firstLine="0"/>
        <w:jc w:val="left"/>
      </w:pPr>
    </w:p>
    <w:p w:rsidR="00765FE1" w:rsidRDefault="00B9065A">
      <w:pPr>
        <w:spacing w:after="0" w:line="259" w:lineRule="auto"/>
        <w:ind w:left="-5"/>
        <w:jc w:val="left"/>
      </w:pPr>
      <w:r>
        <w:rPr>
          <w:b/>
          <w:sz w:val="22"/>
          <w:u w:val="single" w:color="000000"/>
        </w:rPr>
        <w:t>KEY DUTIES AND RESPONSIBILITIES</w:t>
      </w:r>
      <w:r>
        <w:rPr>
          <w:b/>
          <w:sz w:val="22"/>
        </w:rPr>
        <w:t xml:space="preserve">: </w:t>
      </w:r>
    </w:p>
    <w:p w:rsidR="004B11AA" w:rsidRPr="00390CDE" w:rsidRDefault="00B9065A" w:rsidP="004B11AA">
      <w:pPr>
        <w:rPr>
          <w:i/>
          <w:color w:val="auto"/>
        </w:rPr>
      </w:pPr>
      <w:r>
        <w:rPr>
          <w:i/>
        </w:rPr>
        <w:t xml:space="preserve">Examples of key duties are interpreted as being descriptive and not restrictive in nature. </w:t>
      </w:r>
      <w:r w:rsidR="004B11AA" w:rsidRPr="00390CDE">
        <w:rPr>
          <w:i/>
          <w:color w:val="auto"/>
        </w:rPr>
        <w:t>Incumbents routinely perform approximately 80% of the duties below.</w:t>
      </w:r>
    </w:p>
    <w:p w:rsidR="00765FE1" w:rsidRDefault="00B9065A">
      <w:pPr>
        <w:spacing w:after="0" w:line="259" w:lineRule="auto"/>
        <w:ind w:left="0" w:firstLine="0"/>
        <w:jc w:val="left"/>
      </w:pPr>
      <w:r>
        <w:t xml:space="preserve"> </w:t>
      </w:r>
    </w:p>
    <w:p w:rsidR="00765FE1" w:rsidRPr="00A766F8" w:rsidRDefault="00A766F8">
      <w:pPr>
        <w:numPr>
          <w:ilvl w:val="0"/>
          <w:numId w:val="1"/>
        </w:numPr>
        <w:ind w:hanging="360"/>
      </w:pPr>
      <w:r w:rsidRPr="00F7373A">
        <w:rPr>
          <w:rFonts w:eastAsiaTheme="minorEastAsia"/>
          <w:color w:val="auto"/>
          <w:szCs w:val="20"/>
        </w:rPr>
        <w:t xml:space="preserve">Coordinates </w:t>
      </w:r>
      <w:r w:rsidRPr="00A84D39">
        <w:rPr>
          <w:rFonts w:eastAsiaTheme="minorEastAsia"/>
          <w:color w:val="auto"/>
          <w:szCs w:val="20"/>
        </w:rPr>
        <w:t>and</w:t>
      </w:r>
      <w:r>
        <w:rPr>
          <w:rFonts w:eastAsiaTheme="minorEastAsia"/>
          <w:color w:val="auto"/>
          <w:szCs w:val="20"/>
        </w:rPr>
        <w:t xml:space="preserve"> </w:t>
      </w:r>
      <w:r w:rsidR="00A84D39" w:rsidRPr="00A84D39">
        <w:rPr>
          <w:rFonts w:eastAsiaTheme="minorEastAsia"/>
          <w:color w:val="auto"/>
          <w:szCs w:val="20"/>
        </w:rPr>
        <w:t xml:space="preserve">monitors </w:t>
      </w:r>
      <w:r w:rsidR="0037396C">
        <w:rPr>
          <w:rFonts w:eastAsiaTheme="minorEastAsia"/>
          <w:color w:val="auto"/>
          <w:szCs w:val="20"/>
        </w:rPr>
        <w:t xml:space="preserve">the </w:t>
      </w:r>
      <w:r w:rsidRPr="00F7373A">
        <w:rPr>
          <w:rFonts w:eastAsiaTheme="minorEastAsia"/>
          <w:color w:val="auto"/>
          <w:szCs w:val="20"/>
        </w:rPr>
        <w:t>collection, processing and dissemination of faculty grade roster data related to</w:t>
      </w:r>
      <w:r>
        <w:t xml:space="preserve"> </w:t>
      </w:r>
      <w:r w:rsidR="00B9065A">
        <w:t xml:space="preserve">attendance accounting </w:t>
      </w:r>
      <w:r w:rsidRPr="00F7373A">
        <w:t xml:space="preserve">and student grading </w:t>
      </w:r>
      <w:r w:rsidR="00B9065A">
        <w:t>procedures to ensure accurate</w:t>
      </w:r>
      <w:r w:rsidR="00A84D39">
        <w:t xml:space="preserve"> </w:t>
      </w:r>
      <w:r w:rsidR="00B9065A">
        <w:t>data</w:t>
      </w:r>
      <w:r w:rsidR="00BA1956">
        <w:t xml:space="preserve"> </w:t>
      </w:r>
      <w:r w:rsidR="00BA1956" w:rsidRPr="00F7373A">
        <w:t>in compliance with California Education Code and attendance accounting guidelines</w:t>
      </w:r>
      <w:r w:rsidR="00B9065A">
        <w:t xml:space="preserve">. </w:t>
      </w:r>
      <w:r w:rsidR="00B9065A">
        <w:rPr>
          <w:b/>
        </w:rPr>
        <w:t xml:space="preserve"> </w:t>
      </w:r>
    </w:p>
    <w:p w:rsidR="00A766F8" w:rsidRPr="00F7373A" w:rsidRDefault="0037396C" w:rsidP="00A766F8">
      <w:pPr>
        <w:numPr>
          <w:ilvl w:val="0"/>
          <w:numId w:val="1"/>
        </w:numPr>
        <w:ind w:hanging="360"/>
      </w:pPr>
      <w:r w:rsidRPr="00F7373A">
        <w:t>Coordinates</w:t>
      </w:r>
      <w:r w:rsidR="00A84D39" w:rsidRPr="00F7373A">
        <w:t>, i</w:t>
      </w:r>
      <w:r w:rsidR="00A766F8" w:rsidRPr="00F7373A">
        <w:t>mplements and m</w:t>
      </w:r>
      <w:r w:rsidR="0020785A" w:rsidRPr="00F7373A">
        <w:t>onitors</w:t>
      </w:r>
      <w:r w:rsidR="00A766F8" w:rsidRPr="00F7373A">
        <w:t xml:space="preserve"> </w:t>
      </w:r>
      <w:r w:rsidR="0020785A" w:rsidRPr="00F7373A">
        <w:t xml:space="preserve">electronic </w:t>
      </w:r>
      <w:r w:rsidR="00A766F8" w:rsidRPr="00F7373A">
        <w:t xml:space="preserve">degree audit and transcript evaluation systems </w:t>
      </w:r>
      <w:r w:rsidR="00ED341C" w:rsidRPr="00F7373A">
        <w:t>to make</w:t>
      </w:r>
      <w:r w:rsidR="00A766F8" w:rsidRPr="00F7373A">
        <w:t xml:space="preserve"> information easily accessible to students, counselors, evaluators and faculty.</w:t>
      </w:r>
    </w:p>
    <w:p w:rsidR="00765FE1" w:rsidRDefault="00B9065A" w:rsidP="00905FE5">
      <w:pPr>
        <w:numPr>
          <w:ilvl w:val="0"/>
          <w:numId w:val="1"/>
        </w:numPr>
        <w:tabs>
          <w:tab w:val="left" w:pos="810"/>
        </w:tabs>
        <w:ind w:hanging="360"/>
      </w:pPr>
      <w:r>
        <w:t xml:space="preserve">Audits student records for academic progress and adjusts for petitions, faculty grade corrections and incomplete grade changes. </w:t>
      </w:r>
    </w:p>
    <w:p w:rsidR="00765FE1" w:rsidRDefault="00B9065A">
      <w:pPr>
        <w:numPr>
          <w:ilvl w:val="0"/>
          <w:numId w:val="1"/>
        </w:numPr>
        <w:ind w:hanging="360"/>
      </w:pPr>
      <w:r>
        <w:t xml:space="preserve">Coordinates and maintains attendance accounting and student </w:t>
      </w:r>
      <w:r w:rsidR="001D0B17" w:rsidRPr="00F7373A">
        <w:t>academic</w:t>
      </w:r>
      <w:r w:rsidR="001D0B17" w:rsidRPr="00ED341C">
        <w:t xml:space="preserve"> </w:t>
      </w:r>
      <w:r>
        <w:t xml:space="preserve">records; oversees record retention procedures according to state regulations. </w:t>
      </w:r>
    </w:p>
    <w:p w:rsidR="00765FE1" w:rsidRDefault="00B9065A">
      <w:pPr>
        <w:numPr>
          <w:ilvl w:val="0"/>
          <w:numId w:val="1"/>
        </w:numPr>
        <w:ind w:hanging="360"/>
      </w:pPr>
      <w:r>
        <w:t>Serves as the liaison to determine the</w:t>
      </w:r>
      <w:r w:rsidR="00A85AD4">
        <w:t xml:space="preserve"> </w:t>
      </w:r>
      <w:r w:rsidR="00A85AD4" w:rsidRPr="00087889">
        <w:rPr>
          <w:color w:val="auto"/>
        </w:rPr>
        <w:t>District’s</w:t>
      </w:r>
      <w:r w:rsidRPr="00087889">
        <w:rPr>
          <w:color w:val="auto"/>
        </w:rPr>
        <w:t xml:space="preserve"> </w:t>
      </w:r>
      <w:r>
        <w:t>compliance with county, state and federal subpoenas for student records</w:t>
      </w:r>
      <w:r w:rsidR="00A85AD4">
        <w:t>; c</w:t>
      </w:r>
      <w:r>
        <w:t>ompile</w:t>
      </w:r>
      <w:r w:rsidR="00ED341C" w:rsidRPr="00F7373A">
        <w:t>s</w:t>
      </w:r>
      <w:r>
        <w:t xml:space="preserve"> student data from all departments and </w:t>
      </w:r>
      <w:r w:rsidRPr="005C6A68">
        <w:t>submit</w:t>
      </w:r>
      <w:r w:rsidR="004F41FA" w:rsidRPr="00F7373A">
        <w:t>s</w:t>
      </w:r>
      <w:r w:rsidRPr="005C6A68">
        <w:t xml:space="preserve"> documents</w:t>
      </w:r>
      <w:r>
        <w:t xml:space="preserve"> to the requesting party. </w:t>
      </w:r>
    </w:p>
    <w:p w:rsidR="00765FE1" w:rsidRDefault="00B9065A">
      <w:pPr>
        <w:numPr>
          <w:ilvl w:val="0"/>
          <w:numId w:val="1"/>
        </w:numPr>
        <w:ind w:hanging="360"/>
      </w:pPr>
      <w:r>
        <w:t>Interpret</w:t>
      </w:r>
      <w:r w:rsidR="001D0B17">
        <w:t>s</w:t>
      </w:r>
      <w:r>
        <w:t xml:space="preserve"> and implement</w:t>
      </w:r>
      <w:r w:rsidR="001D0B17">
        <w:t>s</w:t>
      </w:r>
      <w:r>
        <w:t xml:space="preserve"> Family Educational Rights and Privacy Act of 1974 (FERPA) and Title 5 regulations as they pertain to a student’s right to privacy and accuracy and retention of academic records.  </w:t>
      </w:r>
    </w:p>
    <w:p w:rsidR="00797CB4" w:rsidRPr="00087889" w:rsidRDefault="004F0042" w:rsidP="00087889">
      <w:pPr>
        <w:numPr>
          <w:ilvl w:val="0"/>
          <w:numId w:val="1"/>
        </w:numPr>
        <w:ind w:hanging="360"/>
        <w:rPr>
          <w:color w:val="auto"/>
        </w:rPr>
      </w:pPr>
      <w:r w:rsidRPr="00087889">
        <w:rPr>
          <w:color w:val="auto"/>
        </w:rPr>
        <w:t>Evaluate</w:t>
      </w:r>
      <w:r w:rsidR="001D0B17" w:rsidRPr="00087889">
        <w:rPr>
          <w:color w:val="auto"/>
        </w:rPr>
        <w:t>s</w:t>
      </w:r>
      <w:r w:rsidRPr="00087889">
        <w:rPr>
          <w:color w:val="auto"/>
        </w:rPr>
        <w:t xml:space="preserve"> academic records received from other educational institutions to ensure District and state requirements are met for all students; research</w:t>
      </w:r>
      <w:r w:rsidR="004F41FA" w:rsidRPr="00087889">
        <w:rPr>
          <w:color w:val="auto"/>
        </w:rPr>
        <w:t>es</w:t>
      </w:r>
      <w:r w:rsidRPr="00087889">
        <w:rPr>
          <w:color w:val="auto"/>
        </w:rPr>
        <w:t xml:space="preserve"> and determine</w:t>
      </w:r>
      <w:r w:rsidR="004F41FA" w:rsidRPr="00087889">
        <w:rPr>
          <w:color w:val="auto"/>
        </w:rPr>
        <w:t>s</w:t>
      </w:r>
      <w:r w:rsidRPr="00087889">
        <w:rPr>
          <w:color w:val="auto"/>
        </w:rPr>
        <w:t xml:space="preserve"> applicability of appropriate transfer courses</w:t>
      </w:r>
      <w:r w:rsidR="00127316" w:rsidRPr="00087889">
        <w:rPr>
          <w:color w:val="auto"/>
        </w:rPr>
        <w:t>; d</w:t>
      </w:r>
      <w:r w:rsidR="001D0B17" w:rsidRPr="00087889">
        <w:rPr>
          <w:color w:val="auto"/>
        </w:rPr>
        <w:t>etermine</w:t>
      </w:r>
      <w:r w:rsidR="004F41FA" w:rsidRPr="00087889">
        <w:rPr>
          <w:color w:val="auto"/>
        </w:rPr>
        <w:t>s</w:t>
      </w:r>
      <w:r w:rsidR="001D0B17" w:rsidRPr="00087889">
        <w:rPr>
          <w:color w:val="auto"/>
        </w:rPr>
        <w:t xml:space="preserve"> final eligibility for a</w:t>
      </w:r>
      <w:r w:rsidR="00BA06B8" w:rsidRPr="00087889">
        <w:rPr>
          <w:color w:val="auto"/>
        </w:rPr>
        <w:t xml:space="preserve">ssociate degrees and </w:t>
      </w:r>
      <w:r w:rsidR="004F41FA" w:rsidRPr="00087889">
        <w:rPr>
          <w:color w:val="auto"/>
        </w:rPr>
        <w:t xml:space="preserve">Career Technical Education </w:t>
      </w:r>
      <w:r w:rsidR="00BA06B8" w:rsidRPr="00087889">
        <w:rPr>
          <w:color w:val="auto"/>
        </w:rPr>
        <w:t>certificates.</w:t>
      </w:r>
      <w:r w:rsidR="00B9065A" w:rsidRPr="00087889">
        <w:rPr>
          <w:color w:val="auto"/>
        </w:rPr>
        <w:t xml:space="preserve"> </w:t>
      </w:r>
    </w:p>
    <w:p w:rsidR="008C1714" w:rsidRPr="00087889" w:rsidRDefault="00A85AD4" w:rsidP="00A85AD4">
      <w:pPr>
        <w:numPr>
          <w:ilvl w:val="0"/>
          <w:numId w:val="1"/>
        </w:numPr>
        <w:ind w:hanging="360"/>
        <w:rPr>
          <w:color w:val="auto"/>
        </w:rPr>
      </w:pPr>
      <w:r w:rsidRPr="00087889">
        <w:rPr>
          <w:color w:val="auto"/>
        </w:rPr>
        <w:t>Creates and maintains reports, files, and statistical data related to evaluations, degrees, majors, and Career Technical Education certificates</w:t>
      </w:r>
      <w:r w:rsidR="00127316" w:rsidRPr="00087889">
        <w:rPr>
          <w:color w:val="auto"/>
        </w:rPr>
        <w:t>; d</w:t>
      </w:r>
      <w:r w:rsidRPr="00087889">
        <w:rPr>
          <w:color w:val="auto"/>
        </w:rPr>
        <w:t>etermines final eligibility for Career Technical Education Certificates.</w:t>
      </w:r>
    </w:p>
    <w:p w:rsidR="00765FE1" w:rsidRDefault="00B9065A" w:rsidP="00A85AD4">
      <w:pPr>
        <w:numPr>
          <w:ilvl w:val="0"/>
          <w:numId w:val="1"/>
        </w:numPr>
        <w:ind w:hanging="360"/>
      </w:pPr>
      <w:r>
        <w:t xml:space="preserve">Maintains the integrity of the student records system by merging duplicate records. </w:t>
      </w:r>
      <w:r>
        <w:rPr>
          <w:b/>
        </w:rPr>
        <w:t xml:space="preserve"> </w:t>
      </w:r>
      <w:r>
        <w:t xml:space="preserve"> </w:t>
      </w:r>
    </w:p>
    <w:p w:rsidR="00087889" w:rsidRDefault="00087889" w:rsidP="00087889"/>
    <w:p w:rsidR="00390CDE" w:rsidRDefault="00390CDE" w:rsidP="00087889">
      <w:pPr>
        <w:spacing w:after="0" w:line="259" w:lineRule="auto"/>
        <w:ind w:left="-5"/>
        <w:jc w:val="left"/>
        <w:rPr>
          <w:b/>
          <w:sz w:val="22"/>
          <w:u w:val="single" w:color="000000"/>
        </w:rPr>
      </w:pPr>
    </w:p>
    <w:p w:rsidR="00390CDE" w:rsidRDefault="00390CDE" w:rsidP="00087889">
      <w:pPr>
        <w:spacing w:after="0" w:line="259" w:lineRule="auto"/>
        <w:ind w:left="-5"/>
        <w:jc w:val="left"/>
        <w:rPr>
          <w:b/>
          <w:sz w:val="22"/>
          <w:u w:val="single" w:color="000000"/>
        </w:rPr>
      </w:pPr>
    </w:p>
    <w:p w:rsidR="00087889" w:rsidRDefault="00390CDE" w:rsidP="00087889">
      <w:pPr>
        <w:spacing w:after="0" w:line="259" w:lineRule="auto"/>
        <w:ind w:left="-5"/>
        <w:jc w:val="left"/>
      </w:pPr>
      <w:r>
        <w:rPr>
          <w:b/>
          <w:sz w:val="22"/>
          <w:u w:val="single" w:color="000000"/>
        </w:rPr>
        <w:t>KEY DUTIES AND RESPONSIBILITIES</w:t>
      </w:r>
      <w:r w:rsidRPr="00390CDE">
        <w:rPr>
          <w:b/>
          <w:sz w:val="22"/>
          <w:u w:color="000000"/>
        </w:rPr>
        <w:t xml:space="preserve"> – Continued</w:t>
      </w:r>
    </w:p>
    <w:p w:rsidR="00087889" w:rsidRDefault="00087889" w:rsidP="00087889">
      <w:pPr>
        <w:spacing w:after="0" w:line="259" w:lineRule="auto"/>
        <w:ind w:left="-5"/>
        <w:jc w:val="left"/>
      </w:pPr>
    </w:p>
    <w:p w:rsidR="00390CDE" w:rsidRDefault="00390CDE" w:rsidP="00087889">
      <w:pPr>
        <w:spacing w:after="0" w:line="259" w:lineRule="auto"/>
        <w:ind w:left="-5"/>
        <w:jc w:val="left"/>
      </w:pPr>
    </w:p>
    <w:p w:rsidR="00765FE1" w:rsidRDefault="004F41FA" w:rsidP="00A85AD4">
      <w:pPr>
        <w:numPr>
          <w:ilvl w:val="0"/>
          <w:numId w:val="1"/>
        </w:numPr>
        <w:ind w:hanging="360"/>
      </w:pPr>
      <w:r w:rsidRPr="00797CB4">
        <w:t>Serves</w:t>
      </w:r>
      <w:r>
        <w:t xml:space="preserve"> </w:t>
      </w:r>
      <w:r w:rsidR="00B9065A">
        <w:t>as the primary department contact for state auditors; gathers requested documentation and explains office policies and procedures.</w:t>
      </w:r>
      <w:r w:rsidR="00B9065A" w:rsidRPr="004F41FA">
        <w:rPr>
          <w:b/>
        </w:rPr>
        <w:t xml:space="preserve"> </w:t>
      </w:r>
    </w:p>
    <w:p w:rsidR="00765FE1" w:rsidRDefault="00B9065A">
      <w:pPr>
        <w:numPr>
          <w:ilvl w:val="0"/>
          <w:numId w:val="2"/>
        </w:numPr>
        <w:ind w:hanging="360"/>
      </w:pPr>
      <w:r>
        <w:t xml:space="preserve">Serves as a member </w:t>
      </w:r>
      <w:r w:rsidRPr="00E628DF">
        <w:t xml:space="preserve">of the </w:t>
      </w:r>
      <w:r w:rsidR="00905FE5">
        <w:t>C</w:t>
      </w:r>
      <w:r w:rsidRPr="00E628DF">
        <w:t>ollege’s</w:t>
      </w:r>
      <w:r>
        <w:t xml:space="preserve"> </w:t>
      </w:r>
      <w:r w:rsidR="00E628DF" w:rsidRPr="00797CB4">
        <w:t>Student Information System (SIS) and the California Community College’s Management Information System</w:t>
      </w:r>
      <w:r>
        <w:t xml:space="preserve"> </w:t>
      </w:r>
      <w:r w:rsidR="00E628DF">
        <w:t>(</w:t>
      </w:r>
      <w:r>
        <w:t>MIS</w:t>
      </w:r>
      <w:r w:rsidR="00E628DF">
        <w:t>)</w:t>
      </w:r>
      <w:r>
        <w:t xml:space="preserve"> taskforce</w:t>
      </w:r>
      <w:r w:rsidR="00E628DF">
        <w:t>s</w:t>
      </w:r>
      <w:r>
        <w:t>.</w:t>
      </w:r>
      <w:r>
        <w:rPr>
          <w:b/>
        </w:rPr>
        <w:t xml:space="preserve"> </w:t>
      </w:r>
    </w:p>
    <w:p w:rsidR="00765FE1" w:rsidRDefault="004F41FA">
      <w:pPr>
        <w:numPr>
          <w:ilvl w:val="0"/>
          <w:numId w:val="2"/>
        </w:numPr>
        <w:ind w:hanging="360"/>
      </w:pPr>
      <w:r w:rsidRPr="00797CB4">
        <w:t>S</w:t>
      </w:r>
      <w:r w:rsidR="00B9065A" w:rsidRPr="00797CB4">
        <w:t>erve</w:t>
      </w:r>
      <w:r w:rsidRPr="00797CB4">
        <w:t>s</w:t>
      </w:r>
      <w:r w:rsidR="00B9065A" w:rsidRPr="00797CB4">
        <w:t xml:space="preserve"> </w:t>
      </w:r>
      <w:r w:rsidR="00B9065A">
        <w:t xml:space="preserve">as a lead worker to other classified staff in the area.  </w:t>
      </w:r>
    </w:p>
    <w:p w:rsidR="00765FE1" w:rsidRDefault="00B9065A" w:rsidP="008C1714">
      <w:pPr>
        <w:numPr>
          <w:ilvl w:val="0"/>
          <w:numId w:val="2"/>
        </w:numPr>
        <w:spacing w:after="0"/>
        <w:ind w:hanging="360"/>
      </w:pPr>
      <w:r>
        <w:t xml:space="preserve">May supervise and train students and short-term, non-continuing (STNC) employees. </w:t>
      </w:r>
    </w:p>
    <w:p w:rsidR="00765FE1" w:rsidRPr="00797CB4" w:rsidRDefault="00765FE1" w:rsidP="00797CB4">
      <w:pPr>
        <w:widowControl w:val="0"/>
        <w:spacing w:after="0" w:line="259" w:lineRule="auto"/>
        <w:ind w:left="0" w:firstLine="0"/>
        <w:jc w:val="left"/>
        <w:rPr>
          <w:b/>
          <w:szCs w:val="20"/>
        </w:rPr>
      </w:pPr>
    </w:p>
    <w:p w:rsidR="00797CB4" w:rsidRPr="00797CB4" w:rsidRDefault="00797CB4" w:rsidP="00797CB4">
      <w:pPr>
        <w:widowControl w:val="0"/>
        <w:spacing w:after="0" w:line="259" w:lineRule="auto"/>
        <w:ind w:left="0" w:firstLine="0"/>
        <w:jc w:val="left"/>
        <w:rPr>
          <w:szCs w:val="20"/>
        </w:rPr>
      </w:pPr>
    </w:p>
    <w:p w:rsidR="00765FE1" w:rsidRDefault="00B9065A">
      <w:pPr>
        <w:pStyle w:val="Heading1"/>
        <w:spacing w:after="0"/>
      </w:pPr>
      <w:r>
        <w:rPr>
          <w:b/>
          <w:sz w:val="24"/>
        </w:rPr>
        <w:t>EMPLOYMENT STANDARDS</w:t>
      </w:r>
      <w:r>
        <w:rPr>
          <w:sz w:val="24"/>
        </w:rPr>
        <w:t xml:space="preserve"> </w:t>
      </w:r>
    </w:p>
    <w:p w:rsidR="00765FE1" w:rsidRDefault="00765FE1">
      <w:pPr>
        <w:spacing w:after="0" w:line="259" w:lineRule="auto"/>
        <w:ind w:left="0" w:firstLine="0"/>
        <w:jc w:val="left"/>
      </w:pPr>
    </w:p>
    <w:p w:rsidR="00765FE1" w:rsidRDefault="00765FE1">
      <w:pPr>
        <w:spacing w:after="1" w:line="259" w:lineRule="auto"/>
        <w:ind w:left="0" w:firstLine="0"/>
        <w:jc w:val="left"/>
      </w:pPr>
    </w:p>
    <w:p w:rsidR="00765FE1" w:rsidRDefault="00B9065A">
      <w:pPr>
        <w:spacing w:after="0" w:line="259" w:lineRule="auto"/>
        <w:ind w:left="-5"/>
        <w:jc w:val="left"/>
      </w:pPr>
      <w:r>
        <w:rPr>
          <w:b/>
          <w:sz w:val="22"/>
          <w:u w:val="single" w:color="000000"/>
        </w:rPr>
        <w:t>ABILITY TO</w:t>
      </w:r>
      <w:r>
        <w:rPr>
          <w:b/>
          <w:sz w:val="22"/>
        </w:rPr>
        <w:t xml:space="preserve">: </w:t>
      </w:r>
    </w:p>
    <w:p w:rsidR="00765FE1" w:rsidRPr="00087889" w:rsidRDefault="00B9065A">
      <w:pPr>
        <w:spacing w:after="13"/>
        <w:ind w:left="-5"/>
        <w:rPr>
          <w:color w:val="auto"/>
        </w:rPr>
      </w:pPr>
      <w:r>
        <w:t>Perform complex admissions and re</w:t>
      </w:r>
      <w:r w:rsidRPr="00087889">
        <w:rPr>
          <w:color w:val="auto"/>
        </w:rPr>
        <w:t>cords responsibilities;</w:t>
      </w:r>
      <w:r w:rsidR="00AD663E" w:rsidRPr="00087889">
        <w:rPr>
          <w:color w:val="auto"/>
        </w:rPr>
        <w:t xml:space="preserve"> </w:t>
      </w:r>
      <w:r w:rsidR="00905FE5" w:rsidRPr="00087889">
        <w:rPr>
          <w:color w:val="auto"/>
        </w:rPr>
        <w:t xml:space="preserve">be proficient with </w:t>
      </w:r>
      <w:r w:rsidR="00AD663E" w:rsidRPr="00087889">
        <w:rPr>
          <w:color w:val="auto"/>
        </w:rPr>
        <w:t xml:space="preserve">standard </w:t>
      </w:r>
      <w:r w:rsidR="004B11AA" w:rsidRPr="00087889">
        <w:rPr>
          <w:color w:val="auto"/>
        </w:rPr>
        <w:t xml:space="preserve">office productivity </w:t>
      </w:r>
      <w:r w:rsidR="00AD663E" w:rsidRPr="00087889">
        <w:rPr>
          <w:color w:val="auto"/>
        </w:rPr>
        <w:t xml:space="preserve">software, including application of </w:t>
      </w:r>
      <w:r w:rsidR="00A85AD4" w:rsidRPr="00087889">
        <w:rPr>
          <w:color w:val="auto"/>
        </w:rPr>
        <w:t xml:space="preserve">advanced </w:t>
      </w:r>
      <w:r w:rsidR="00AD663E" w:rsidRPr="00087889">
        <w:rPr>
          <w:color w:val="auto"/>
        </w:rPr>
        <w:t>spreadsheet</w:t>
      </w:r>
      <w:r w:rsidR="00A85AD4" w:rsidRPr="00087889">
        <w:rPr>
          <w:color w:val="auto"/>
        </w:rPr>
        <w:t xml:space="preserve"> functions</w:t>
      </w:r>
      <w:r w:rsidR="00AD663E" w:rsidRPr="00087889">
        <w:rPr>
          <w:color w:val="auto"/>
        </w:rPr>
        <w:t xml:space="preserve">; </w:t>
      </w:r>
      <w:r w:rsidRPr="00087889">
        <w:rPr>
          <w:color w:val="auto"/>
        </w:rPr>
        <w:t>analyze and resolve situations accurately and adopt an effective course of action; analyze information and prepare accurate reports with minimal direction; maintain cooperative working relationships</w:t>
      </w:r>
      <w:r w:rsidR="00E769F9" w:rsidRPr="00087889">
        <w:rPr>
          <w:color w:val="auto"/>
        </w:rPr>
        <w:t xml:space="preserve"> and provide effective customer service</w:t>
      </w:r>
      <w:r w:rsidRPr="00087889">
        <w:rPr>
          <w:color w:val="auto"/>
        </w:rPr>
        <w:t xml:space="preserve">; communicate effectively </w:t>
      </w:r>
      <w:r w:rsidR="00E769F9" w:rsidRPr="00087889">
        <w:rPr>
          <w:color w:val="auto"/>
        </w:rPr>
        <w:t xml:space="preserve">in English, </w:t>
      </w:r>
      <w:r w:rsidRPr="00087889">
        <w:rPr>
          <w:color w:val="auto"/>
        </w:rPr>
        <w:t xml:space="preserve">both verbally and in writing; </w:t>
      </w:r>
      <w:r w:rsidR="00AD663E" w:rsidRPr="00087889">
        <w:rPr>
          <w:color w:val="auto"/>
        </w:rPr>
        <w:t xml:space="preserve">demonstrate </w:t>
      </w:r>
      <w:r w:rsidRPr="00087889">
        <w:rPr>
          <w:color w:val="auto"/>
        </w:rPr>
        <w:t>leadership and organizational skills; consistently perform under the pressure of deadlines and other administrative demands; demonstrate sensitivity to, and respect for, a diverse population.</w:t>
      </w:r>
    </w:p>
    <w:p w:rsidR="00765FE1" w:rsidRDefault="00765FE1">
      <w:pPr>
        <w:spacing w:after="0" w:line="259" w:lineRule="auto"/>
        <w:ind w:left="0" w:firstLine="0"/>
        <w:jc w:val="left"/>
      </w:pPr>
    </w:p>
    <w:p w:rsidR="00765FE1" w:rsidRDefault="00765FE1">
      <w:pPr>
        <w:spacing w:after="0" w:line="259" w:lineRule="auto"/>
        <w:ind w:left="0" w:firstLine="0"/>
        <w:jc w:val="left"/>
      </w:pPr>
    </w:p>
    <w:p w:rsidR="00765FE1" w:rsidRDefault="00B9065A">
      <w:pPr>
        <w:spacing w:after="0" w:line="259" w:lineRule="auto"/>
        <w:ind w:left="-5"/>
        <w:jc w:val="left"/>
      </w:pPr>
      <w:r>
        <w:rPr>
          <w:b/>
          <w:sz w:val="22"/>
          <w:u w:val="single" w:color="000000"/>
        </w:rPr>
        <w:t>KNOWLEDGE OF</w:t>
      </w:r>
      <w:r>
        <w:rPr>
          <w:b/>
          <w:sz w:val="22"/>
        </w:rPr>
        <w:t xml:space="preserve">: </w:t>
      </w:r>
    </w:p>
    <w:p w:rsidR="00765FE1" w:rsidRPr="00390CDE" w:rsidRDefault="00905FE5" w:rsidP="00AD663E">
      <w:pPr>
        <w:spacing w:after="0"/>
        <w:ind w:left="-5"/>
        <w:rPr>
          <w:color w:val="auto"/>
          <w:u w:val="single"/>
        </w:rPr>
      </w:pPr>
      <w:r w:rsidRPr="00797CB4">
        <w:t>R</w:t>
      </w:r>
      <w:r w:rsidR="00B9065A">
        <w:t>egulations and policies of community college recordkeeping, attendance accounting and audit practices;</w:t>
      </w:r>
      <w:r w:rsidR="00AD663E">
        <w:t xml:space="preserve"> </w:t>
      </w:r>
      <w:r w:rsidR="00AD663E" w:rsidRPr="00797CB4">
        <w:t>procedures and methods used in evaluating transcripts and course content; District, state, and federal regulations, policies and procedures related to certificate and degree requirements; articulation agreements between CSU, UC and California Community College systems and other colleges and universities; including applicable section</w:t>
      </w:r>
      <w:r w:rsidR="00AD663E" w:rsidRPr="00087889">
        <w:rPr>
          <w:color w:val="auto"/>
        </w:rPr>
        <w:t>s of Title 5</w:t>
      </w:r>
      <w:r w:rsidR="004B11AA" w:rsidRPr="00087889">
        <w:rPr>
          <w:color w:val="auto"/>
        </w:rPr>
        <w:t>,</w:t>
      </w:r>
      <w:r w:rsidR="00AD663E" w:rsidRPr="00087889">
        <w:rPr>
          <w:color w:val="auto"/>
        </w:rPr>
        <w:t xml:space="preserve"> </w:t>
      </w:r>
      <w:r w:rsidR="004B11AA" w:rsidRPr="00087889">
        <w:rPr>
          <w:color w:val="auto"/>
        </w:rPr>
        <w:t>E</w:t>
      </w:r>
      <w:r w:rsidR="00AD663E" w:rsidRPr="00087889">
        <w:rPr>
          <w:color w:val="auto"/>
        </w:rPr>
        <w:t xml:space="preserve">ducation </w:t>
      </w:r>
      <w:r w:rsidR="004B11AA" w:rsidRPr="00087889">
        <w:rPr>
          <w:color w:val="auto"/>
        </w:rPr>
        <w:t>C</w:t>
      </w:r>
      <w:r w:rsidR="00AD663E" w:rsidRPr="00087889">
        <w:rPr>
          <w:color w:val="auto"/>
        </w:rPr>
        <w:t>ode and FERPA</w:t>
      </w:r>
      <w:r w:rsidR="004B11AA" w:rsidRPr="00087889">
        <w:rPr>
          <w:color w:val="auto"/>
        </w:rPr>
        <w:t xml:space="preserve">; standard office productivity software and specialized </w:t>
      </w:r>
      <w:r w:rsidR="004B11AA" w:rsidRPr="00390CDE">
        <w:rPr>
          <w:color w:val="auto"/>
        </w:rPr>
        <w:t>systems.</w:t>
      </w:r>
    </w:p>
    <w:p w:rsidR="00AD663E" w:rsidRDefault="00AD663E">
      <w:pPr>
        <w:spacing w:after="2" w:line="259" w:lineRule="auto"/>
        <w:ind w:left="0" w:firstLine="0"/>
        <w:jc w:val="left"/>
      </w:pPr>
    </w:p>
    <w:p w:rsidR="00AD663E" w:rsidRDefault="00AD663E">
      <w:pPr>
        <w:spacing w:after="2" w:line="259" w:lineRule="auto"/>
        <w:ind w:left="0" w:firstLine="0"/>
        <w:jc w:val="left"/>
      </w:pPr>
    </w:p>
    <w:p w:rsidR="00765FE1" w:rsidRDefault="00B9065A">
      <w:pPr>
        <w:spacing w:after="0" w:line="259" w:lineRule="auto"/>
        <w:ind w:left="-5"/>
        <w:jc w:val="left"/>
      </w:pPr>
      <w:r>
        <w:rPr>
          <w:b/>
          <w:sz w:val="22"/>
          <w:u w:val="single" w:color="000000"/>
        </w:rPr>
        <w:t>MINIMUM QUALIFICATIONS</w:t>
      </w:r>
      <w:r>
        <w:rPr>
          <w:b/>
          <w:sz w:val="22"/>
        </w:rPr>
        <w:t xml:space="preserve">: </w:t>
      </w:r>
    </w:p>
    <w:p w:rsidR="00765FE1" w:rsidRDefault="00B9065A">
      <w:pPr>
        <w:spacing w:after="4"/>
        <w:ind w:left="-5"/>
      </w:pPr>
      <w:r>
        <w:rPr>
          <w:i/>
        </w:rPr>
        <w:t>Candidates/incumbents must meet the minimum qualifications as detailed below, or file for equivalency.  Equivalency decisions are made on the basis of a</w:t>
      </w:r>
      <w:r>
        <w:rPr>
          <w:i/>
          <w:color w:val="FF0000"/>
        </w:rPr>
        <w:t xml:space="preserve"> </w:t>
      </w:r>
      <w:r>
        <w:rPr>
          <w:i/>
        </w:rPr>
        <w:t xml:space="preserve">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 </w:t>
      </w:r>
    </w:p>
    <w:p w:rsidR="00765FE1" w:rsidRDefault="00B9065A">
      <w:pPr>
        <w:spacing w:after="0" w:line="259" w:lineRule="auto"/>
        <w:ind w:left="0" w:firstLine="0"/>
        <w:jc w:val="left"/>
      </w:pPr>
      <w:r>
        <w:rPr>
          <w:i/>
        </w:rPr>
        <w:t xml:space="preserve"> </w:t>
      </w:r>
    </w:p>
    <w:p w:rsidR="00765FE1" w:rsidRDefault="00B9065A">
      <w:pPr>
        <w:spacing w:after="4"/>
        <w:ind w:left="-5"/>
      </w:pPr>
      <w:r>
        <w:rPr>
          <w:i/>
        </w:rPr>
        <w:t xml:space="preserve">Education:  </w:t>
      </w:r>
    </w:p>
    <w:p w:rsidR="00765FE1" w:rsidRPr="00087889" w:rsidRDefault="00B9065A" w:rsidP="00087889">
      <w:pPr>
        <w:spacing w:after="0"/>
        <w:ind w:left="-5"/>
        <w:rPr>
          <w:strike/>
        </w:rPr>
      </w:pPr>
      <w:r w:rsidRPr="00160655">
        <w:t>Associate’s degree;</w:t>
      </w:r>
      <w:r>
        <w:t xml:space="preserve"> Bachelor’s degree </w:t>
      </w:r>
      <w:r w:rsidRPr="00BA1956">
        <w:t>preferred.</w:t>
      </w:r>
      <w:r w:rsidRPr="0020785A">
        <w:rPr>
          <w:strike/>
        </w:rPr>
        <w:t xml:space="preserve"> </w:t>
      </w:r>
    </w:p>
    <w:p w:rsidR="00E769F9" w:rsidRDefault="00E769F9">
      <w:pPr>
        <w:spacing w:after="4"/>
        <w:ind w:left="-5"/>
        <w:rPr>
          <w:i/>
        </w:rPr>
      </w:pPr>
    </w:p>
    <w:p w:rsidR="00765FE1" w:rsidRDefault="00B9065A">
      <w:pPr>
        <w:spacing w:after="4"/>
        <w:ind w:left="-5"/>
      </w:pPr>
      <w:r>
        <w:rPr>
          <w:i/>
        </w:rPr>
        <w:t xml:space="preserve">Experience: </w:t>
      </w:r>
    </w:p>
    <w:p w:rsidR="00765FE1" w:rsidRPr="00A84D39" w:rsidRDefault="00B9065A" w:rsidP="00A84D39">
      <w:pPr>
        <w:autoSpaceDE w:val="0"/>
        <w:autoSpaceDN w:val="0"/>
        <w:adjustRightInd w:val="0"/>
        <w:spacing w:after="0" w:line="240" w:lineRule="auto"/>
        <w:ind w:left="0" w:firstLine="0"/>
        <w:jc w:val="left"/>
        <w:rPr>
          <w:rFonts w:eastAsiaTheme="minorEastAsia"/>
          <w:color w:val="auto"/>
          <w:szCs w:val="20"/>
        </w:rPr>
      </w:pPr>
      <w:r>
        <w:t xml:space="preserve">Increasingly </w:t>
      </w:r>
      <w:r w:rsidRPr="00087889">
        <w:rPr>
          <w:color w:val="auto"/>
        </w:rPr>
        <w:t>responsible</w:t>
      </w:r>
      <w:r w:rsidR="00F1218F" w:rsidRPr="00087889">
        <w:rPr>
          <w:color w:val="auto"/>
        </w:rPr>
        <w:t xml:space="preserve"> (2-4 years full-time equivalent)</w:t>
      </w:r>
      <w:r w:rsidRPr="00087889">
        <w:rPr>
          <w:color w:val="auto"/>
        </w:rPr>
        <w:t xml:space="preserve"> </w:t>
      </w:r>
      <w:r>
        <w:t xml:space="preserve">experience in </w:t>
      </w:r>
      <w:r w:rsidR="00A84D39">
        <w:t xml:space="preserve">a </w:t>
      </w:r>
      <w:r w:rsidR="0020785A">
        <w:rPr>
          <w:rFonts w:eastAsiaTheme="minorEastAsia"/>
          <w:color w:val="auto"/>
          <w:szCs w:val="20"/>
        </w:rPr>
        <w:t>college or university a</w:t>
      </w:r>
      <w:r w:rsidR="00A84D39">
        <w:rPr>
          <w:rFonts w:eastAsiaTheme="minorEastAsia"/>
          <w:color w:val="auto"/>
          <w:szCs w:val="20"/>
        </w:rPr>
        <w:t>dmissio</w:t>
      </w:r>
      <w:r w:rsidR="0020785A">
        <w:rPr>
          <w:rFonts w:eastAsiaTheme="minorEastAsia"/>
          <w:color w:val="auto"/>
          <w:szCs w:val="20"/>
        </w:rPr>
        <w:t>ns and r</w:t>
      </w:r>
      <w:r w:rsidR="00A84D39">
        <w:rPr>
          <w:rFonts w:eastAsiaTheme="minorEastAsia"/>
          <w:color w:val="auto"/>
          <w:szCs w:val="20"/>
        </w:rPr>
        <w:t xml:space="preserve">ecords office </w:t>
      </w:r>
      <w:r w:rsidR="00A84D39" w:rsidRPr="00797CB4">
        <w:rPr>
          <w:rFonts w:eastAsiaTheme="minorEastAsia"/>
          <w:color w:val="auto"/>
          <w:szCs w:val="20"/>
        </w:rPr>
        <w:t>preferably in the evaluations or transcripts area</w:t>
      </w:r>
      <w:r>
        <w:t xml:space="preserve">. </w:t>
      </w:r>
    </w:p>
    <w:p w:rsidR="00765FE1" w:rsidRDefault="00765FE1" w:rsidP="00797CB4">
      <w:pPr>
        <w:spacing w:after="0" w:line="259" w:lineRule="auto"/>
        <w:ind w:left="0" w:firstLine="0"/>
        <w:jc w:val="left"/>
      </w:pPr>
    </w:p>
    <w:sectPr w:rsidR="00765FE1" w:rsidSect="008C1714">
      <w:headerReference w:type="default" r:id="rId11"/>
      <w:footerReference w:type="default" r:id="rId12"/>
      <w:headerReference w:type="first" r:id="rId13"/>
      <w:footerReference w:type="first" r:id="rId14"/>
      <w:pgSz w:w="12240" w:h="15840" w:code="1"/>
      <w:pgMar w:top="720" w:right="1440" w:bottom="288"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68" w:rsidRDefault="005C6A68" w:rsidP="005C6A68">
      <w:pPr>
        <w:spacing w:after="0" w:line="240" w:lineRule="auto"/>
      </w:pPr>
      <w:r>
        <w:separator/>
      </w:r>
    </w:p>
  </w:endnote>
  <w:endnote w:type="continuationSeparator" w:id="0">
    <w:p w:rsidR="005C6A68" w:rsidRDefault="005C6A68" w:rsidP="005C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izQuadrata">
    <w:panose1 w:val="020272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7D" w:rsidRDefault="00541E7D" w:rsidP="008C1714">
    <w:pPr>
      <w:pStyle w:val="Heading2"/>
      <w:keepNext w:val="0"/>
      <w:keepLines w:val="0"/>
      <w:widowControl w:val="0"/>
      <w:tabs>
        <w:tab w:val="center" w:pos="4320"/>
        <w:tab w:val="right" w:pos="9362"/>
      </w:tabs>
    </w:pPr>
    <w:r>
      <w:tab/>
    </w:r>
  </w:p>
  <w:p w:rsidR="008C1714" w:rsidRDefault="008C1714" w:rsidP="008C1714">
    <w:pPr>
      <w:pStyle w:val="Footer"/>
      <w:widowControl w:val="0"/>
      <w:pBdr>
        <w:top w:val="single" w:sz="6" w:space="1" w:color="auto"/>
      </w:pBdr>
      <w:rPr>
        <w:sz w:val="16"/>
      </w:rPr>
    </w:pP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56A64">
      <w:rPr>
        <w:rStyle w:val="PageNumber"/>
        <w:noProof/>
        <w:sz w:val="16"/>
      </w:rPr>
      <w:t>2</w:t>
    </w:r>
    <w:r>
      <w:rPr>
        <w:rStyle w:val="PageNumb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7D" w:rsidRPr="008C1714" w:rsidRDefault="00541E7D">
    <w:pPr>
      <w:pStyle w:val="Footer"/>
      <w:rPr>
        <w:sz w:val="4"/>
        <w:szCs w:val="4"/>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68" w:rsidRDefault="005C6A68" w:rsidP="005C6A68">
      <w:pPr>
        <w:spacing w:after="0" w:line="240" w:lineRule="auto"/>
      </w:pPr>
      <w:r>
        <w:separator/>
      </w:r>
    </w:p>
  </w:footnote>
  <w:footnote w:type="continuationSeparator" w:id="0">
    <w:p w:rsidR="005C6A68" w:rsidRDefault="005C6A68" w:rsidP="005C6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68" w:rsidRPr="005C6A68" w:rsidRDefault="005C6A68" w:rsidP="00797CB4">
    <w:pPr>
      <w:pStyle w:val="Heading1"/>
      <w:keepNext w:val="0"/>
      <w:keepLines w:val="0"/>
      <w:widowControl w:val="0"/>
      <w:spacing w:after="0"/>
      <w:rPr>
        <w:u w:val="single"/>
      </w:rPr>
    </w:pPr>
    <w:r>
      <w:t>TITLE:</w:t>
    </w:r>
    <w:r>
      <w:rPr>
        <w:rFonts w:ascii="FrizQuadrata" w:eastAsia="FrizQuadrata" w:hAnsi="FrizQuadrata" w:cs="FrizQuadrata"/>
      </w:rPr>
      <w:t xml:space="preserve"> </w:t>
    </w:r>
    <w:r w:rsidRPr="00F7373A">
      <w:t>COORDINATOR, STUDENT ACADEMIC RECORDS</w:t>
    </w:r>
  </w:p>
  <w:p w:rsidR="005C6A68" w:rsidRDefault="005C6A68" w:rsidP="005C6A68">
    <w:pPr>
      <w:spacing w:after="5" w:line="259" w:lineRule="auto"/>
      <w:ind w:left="-30" w:right="-28" w:firstLine="0"/>
      <w:jc w:val="left"/>
    </w:pPr>
    <w:r>
      <w:rPr>
        <w:rFonts w:ascii="Calibri" w:eastAsia="Calibri" w:hAnsi="Calibri" w:cs="Calibri"/>
        <w:noProof/>
        <w:sz w:val="22"/>
      </w:rPr>
      <mc:AlternateContent>
        <mc:Choice Requires="wpg">
          <w:drawing>
            <wp:inline distT="0" distB="0" distL="0" distR="0" wp14:anchorId="3DED17F1" wp14:editId="4BBC4008">
              <wp:extent cx="5981700" cy="9144"/>
              <wp:effectExtent l="0" t="0" r="0" b="0"/>
              <wp:docPr id="1" name="Group 1"/>
              <wp:cNvGraphicFramePr/>
              <a:graphic xmlns:a="http://schemas.openxmlformats.org/drawingml/2006/main">
                <a:graphicData uri="http://schemas.microsoft.com/office/word/2010/wordprocessingGroup">
                  <wpg:wgp>
                    <wpg:cNvGrpSpPr/>
                    <wpg:grpSpPr>
                      <a:xfrm>
                        <a:off x="0" y="0"/>
                        <a:ext cx="5981700" cy="9144"/>
                        <a:chOff x="0" y="0"/>
                        <a:chExt cx="5981700" cy="9144"/>
                      </a:xfrm>
                    </wpg:grpSpPr>
                    <wps:wsp>
                      <wps:cNvPr id="2" name="Shape 2250"/>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6785F2" id="Group 1" o:spid="_x0000_s1026" style="width:471pt;height:.7pt;mso-position-horizontal-relative:char;mso-position-vertical-relative:line" coordsize="598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">
              <v:shape id="Shape 2250" o:spid="_x0000_s1027" style="position:absolute;width:59817;height:91;visibility:visible;mso-wrap-style:square;v-text-anchor:top" coordsize="5981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MzsAA&#10;AADaAAAADwAAAGRycy9kb3ducmV2LnhtbERPy2rCQBTdC/7DcAvdmUmliERHESWlmxZfC91dMtdk&#10;MHMnzYwx/XunUHB5OO/5sre16Kj1xrGCtyQFQVw4bbhUcDzkoykIH5A11o5JwS95WC6Ggzlm2t15&#10;R90+lCKGsM9QQRVCk0npi4os+sQ1xJG7uNZiiLAtpW7xHsNtLcdpOpEWDceGChtaV1Rc9zcbZ3Tf&#10;P/m5yW+nyeV9Y1y//fowpVKvL/1qBiJQH57if/enVjCGvyvRD3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KMzsAAAADaAAAADwAAAAAAAAAAAAAAAACYAgAAZHJzL2Rvd25y&#10;ZXYueG1sUEsFBgAAAAAEAAQA9QAAAIUDAAAAAA==&#10;" path="m,l5981700,r,9144l,9144,,e" fillcolor="black" stroked="f" strokeweight="0">
                <v:stroke miterlimit="83231f" joinstyle="miter"/>
                <v:path arrowok="t" textboxrect="0,0,5981700,9144"/>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68" w:rsidRDefault="00156A64">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69" type="#_x0000_t75" style="position:absolute;left:0;text-align:left;margin-left:-.45pt;margin-top:-7.6pt;width:175.5pt;height:37.5pt;z-index:251658240;mso-wrap-edited:f" wrapcoords="-92 0 -92 21168 21600 21168 21600 0 -92 0">
          <v:imagedata r:id="rId1" o:title=""/>
        </v:shape>
        <o:OLEObject Type="Embed" ProgID="PBrush" ShapeID="_x0000_s32769" DrawAspect="Content" ObjectID="_1533121979" r:id="rId2"/>
      </w:object>
    </w:r>
  </w:p>
  <w:p w:rsidR="005C6A68" w:rsidRDefault="005C6A68">
    <w:pPr>
      <w:pStyle w:val="Header"/>
    </w:pPr>
  </w:p>
  <w:p w:rsidR="005C6A68" w:rsidRDefault="005C6A68">
    <w:pPr>
      <w:pStyle w:val="Header"/>
    </w:pPr>
  </w:p>
  <w:p w:rsidR="005C6A68" w:rsidRPr="00797CB4" w:rsidRDefault="005C6A68">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E15E2"/>
    <w:multiLevelType w:val="hybridMultilevel"/>
    <w:tmpl w:val="C2C452BC"/>
    <w:lvl w:ilvl="0" w:tplc="70921E7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EC0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F434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C42D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6008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0F2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566C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0FB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B043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12B2801"/>
    <w:multiLevelType w:val="hybridMultilevel"/>
    <w:tmpl w:val="39387B8E"/>
    <w:lvl w:ilvl="0" w:tplc="741005E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EC0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F434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C42D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6008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0F2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566C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0FB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B043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DD9726E"/>
    <w:multiLevelType w:val="hybridMultilevel"/>
    <w:tmpl w:val="4B6A98C0"/>
    <w:lvl w:ilvl="0" w:tplc="78B8AAF2">
      <w:start w:val="1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1C2F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1094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F6D6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04DC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1EBD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92B7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B4BE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10E8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E1"/>
    <w:rsid w:val="000556E9"/>
    <w:rsid w:val="0008354C"/>
    <w:rsid w:val="00087889"/>
    <w:rsid w:val="00127316"/>
    <w:rsid w:val="00156A64"/>
    <w:rsid w:val="00160655"/>
    <w:rsid w:val="001D0B17"/>
    <w:rsid w:val="0020785A"/>
    <w:rsid w:val="00323E00"/>
    <w:rsid w:val="0037396C"/>
    <w:rsid w:val="00390CDE"/>
    <w:rsid w:val="0043292F"/>
    <w:rsid w:val="004350D4"/>
    <w:rsid w:val="00453460"/>
    <w:rsid w:val="004B11AA"/>
    <w:rsid w:val="004C4131"/>
    <w:rsid w:val="004F0042"/>
    <w:rsid w:val="004F41FA"/>
    <w:rsid w:val="004F503B"/>
    <w:rsid w:val="005321D4"/>
    <w:rsid w:val="00541E7D"/>
    <w:rsid w:val="005C6A68"/>
    <w:rsid w:val="00616F07"/>
    <w:rsid w:val="0063797E"/>
    <w:rsid w:val="006756D9"/>
    <w:rsid w:val="006E0FD8"/>
    <w:rsid w:val="00765FE1"/>
    <w:rsid w:val="007828A9"/>
    <w:rsid w:val="00785167"/>
    <w:rsid w:val="00797CB4"/>
    <w:rsid w:val="007C4B7F"/>
    <w:rsid w:val="0083011E"/>
    <w:rsid w:val="008C1714"/>
    <w:rsid w:val="008E045F"/>
    <w:rsid w:val="00905FE5"/>
    <w:rsid w:val="00A766F8"/>
    <w:rsid w:val="00A84D39"/>
    <w:rsid w:val="00A85AD4"/>
    <w:rsid w:val="00AB5ECB"/>
    <w:rsid w:val="00AD663E"/>
    <w:rsid w:val="00B3293A"/>
    <w:rsid w:val="00B83E8E"/>
    <w:rsid w:val="00B9065A"/>
    <w:rsid w:val="00BA06B8"/>
    <w:rsid w:val="00BA1956"/>
    <w:rsid w:val="00BD494C"/>
    <w:rsid w:val="00C97AB6"/>
    <w:rsid w:val="00CF7F0B"/>
    <w:rsid w:val="00E163DB"/>
    <w:rsid w:val="00E23E2C"/>
    <w:rsid w:val="00E628DF"/>
    <w:rsid w:val="00E769F9"/>
    <w:rsid w:val="00ED341C"/>
    <w:rsid w:val="00ED64CF"/>
    <w:rsid w:val="00F042E3"/>
    <w:rsid w:val="00F1218F"/>
    <w:rsid w:val="00F13FCB"/>
    <w:rsid w:val="00F7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docId w15:val="{FEDA180F-C7EF-41C5-8F3B-8D380104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8"/>
      <w:outlineLvl w:val="0"/>
    </w:pPr>
    <w:rPr>
      <w:rFonts w:ascii="Arial" w:eastAsia="Arial" w:hAnsi="Arial" w:cs="Arial"/>
      <w:color w:val="000000"/>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6"/>
    </w:rPr>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82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8A9"/>
    <w:rPr>
      <w:rFonts w:ascii="Tahoma" w:eastAsia="Arial" w:hAnsi="Tahoma" w:cs="Tahoma"/>
      <w:color w:val="000000"/>
      <w:sz w:val="16"/>
      <w:szCs w:val="16"/>
    </w:rPr>
  </w:style>
  <w:style w:type="paragraph" w:styleId="Header">
    <w:name w:val="header"/>
    <w:basedOn w:val="Normal"/>
    <w:link w:val="HeaderChar"/>
    <w:uiPriority w:val="99"/>
    <w:unhideWhenUsed/>
    <w:rsid w:val="005C6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68"/>
    <w:rPr>
      <w:rFonts w:ascii="Arial" w:eastAsia="Arial" w:hAnsi="Arial" w:cs="Arial"/>
      <w:color w:val="000000"/>
      <w:sz w:val="20"/>
    </w:rPr>
  </w:style>
  <w:style w:type="paragraph" w:styleId="Footer">
    <w:name w:val="footer"/>
    <w:basedOn w:val="Normal"/>
    <w:link w:val="FooterChar"/>
    <w:unhideWhenUsed/>
    <w:rsid w:val="005C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68"/>
    <w:rPr>
      <w:rFonts w:ascii="Arial" w:eastAsia="Arial" w:hAnsi="Arial" w:cs="Arial"/>
      <w:color w:val="000000"/>
      <w:sz w:val="20"/>
    </w:rPr>
  </w:style>
  <w:style w:type="character" w:styleId="PageNumber">
    <w:name w:val="page number"/>
    <w:basedOn w:val="DefaultParagraphFont"/>
    <w:rsid w:val="008C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2D2D21B39254A81B78BE64C6C273E" ma:contentTypeVersion="1" ma:contentTypeDescription="Create a new document." ma:contentTypeScope="" ma:versionID="dda82e26a662f887cd5dcaf3c25abb60">
  <xsd:schema xmlns:xsd="http://www.w3.org/2001/XMLSchema" xmlns:xs="http://www.w3.org/2001/XMLSchema" xmlns:p="http://schemas.microsoft.com/office/2006/metadata/properties" targetNamespace="http://schemas.microsoft.com/office/2006/metadata/properties" ma:root="true" ma:fieldsID="e82e4142ae231a42192db24924dc4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3C3F-6211-4C43-AE33-A0BF912BD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E1E173-3E9E-4C72-9104-AE2B49EC208C}">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1E378DA-0F12-40CD-82CB-E33A140E0F4D}">
  <ds:schemaRefs>
    <ds:schemaRef ds:uri="http://schemas.microsoft.com/sharepoint/v3/contenttype/forms"/>
  </ds:schemaRefs>
</ds:datastoreItem>
</file>

<file path=customXml/itemProps4.xml><?xml version="1.0" encoding="utf-8"?>
<ds:datastoreItem xmlns:ds="http://schemas.openxmlformats.org/officeDocument/2006/customXml" ds:itemID="{807F8CAF-5F7E-41B6-B68B-BDC83362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Coord Student Academic Records-Rev2</vt:lpstr>
    </vt:vector>
  </TitlesOfParts>
  <Company>Santa Rosa Junior College</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 Student Academic Records-Rev2</dc:title>
  <dc:creator>bdixon</dc:creator>
  <cp:lastModifiedBy>Dixon, Brenda</cp:lastModifiedBy>
  <cp:revision>2</cp:revision>
  <cp:lastPrinted>2014-07-07T23:35:00Z</cp:lastPrinted>
  <dcterms:created xsi:type="dcterms:W3CDTF">2016-08-19T21:27:00Z</dcterms:created>
  <dcterms:modified xsi:type="dcterms:W3CDTF">2016-08-19T21:27:00Z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0x01010068B2D2D21B39254A81B78BE64C6C273E</vt:lpwstr>
  </property>
  <property fmtid="{D5CDD505-2E9C-101B-9397-08002B2CF9AE}" pid="3" name="WorkflowChangePath">
    <vt:lpwstr>c0947472-4a1e-47f8-b34e-21aa637b89e0,2;c0947472-4a1e-47f8-b34e-21aa637b89e0,2;</vt:lpwstr>
  </property>
</Properties>
</file>